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54D1" w14:textId="3D44DB8D" w:rsidR="00A4621D" w:rsidRPr="008559FA" w:rsidRDefault="008559FA" w:rsidP="008559FA">
      <w:pPr>
        <w:pStyle w:val="Heading1"/>
        <w:spacing w:before="0" w:after="120" w:line="240" w:lineRule="auto"/>
        <w:rPr>
          <w:rFonts w:ascii="Aptos" w:hAnsi="Aptos"/>
          <w:b/>
          <w:bCs/>
          <w:sz w:val="48"/>
          <w:szCs w:val="48"/>
        </w:rPr>
      </w:pPr>
      <w:r w:rsidRPr="00FB2DC6">
        <w:rPr>
          <w:rFonts w:ascii="Aptos" w:hAnsi="Aptos"/>
          <w:b/>
          <w:bCs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035D3" wp14:editId="678DF621">
                <wp:simplePos x="0" y="0"/>
                <wp:positionH relativeFrom="column">
                  <wp:posOffset>0</wp:posOffset>
                </wp:positionH>
                <wp:positionV relativeFrom="paragraph">
                  <wp:posOffset>791047</wp:posOffset>
                </wp:positionV>
                <wp:extent cx="969645" cy="59055"/>
                <wp:effectExtent l="0" t="0" r="8255" b="17145"/>
                <wp:wrapNone/>
                <wp:docPr id="12025016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5905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21C1CF" id="Rectangle 1" o:spid="_x0000_s1026" style="position:absolute;margin-left:0;margin-top:62.3pt;width:76.35pt;height: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SaUfAIAAIYFAAAOAAAAZHJzL2Uyb0RvYy54bWysVE1v2zAMvQ/YfxB0X+0ESbcEdYogRYYB&#13;&#10;RVssHXpWZCkWIIuapMTJfv0o+SNZV+xQ7CKLJvlIPpG8uT3WmhyE8wpMQUdXOSXCcCiV2RX0x/P6&#13;&#10;0xdKfGCmZBqMKOhJeHq7+PjhprFzMYYKdCkcQRDj540taBWCnWeZ55Womb8CKwwqJbiaBRTdLisd&#13;&#10;axC91tk4z6+zBlxpHXDhPf69a5V0kfClFDw8SulFILqgmFtIp0vnNp7Z4obNd47ZSvEuDfaOLGqm&#13;&#10;DAYdoO5YYGTv1F9QteIOPMhwxaHOQErFRaoBqxnlr6rZVMyKVAuS4+1Ak/9/sPzhsLFPDmlorJ97&#13;&#10;vMYqjtLV8Yv5kWMi6zSQJY6BcPw5u55dT6aUcFRNZ/l0GrnMzr7W+fBVQE3ipaAOnyIxxA73PrSm&#13;&#10;vUkM5UGrcq20ToLbbVfakQPDZ1uvV3meXgrR/zDT5n2eiBNds3PJ6RZOWkRAbb4LSVSJRY5Tyqkb&#13;&#10;xZAQ41yYMGpVFStFm+doepFm7N/okShJgBFZYn0DdgfQW7YgPXZLUGcfXUVq5sE5/1dirfPgkSKD&#13;&#10;CYNzrQy4twA0VtVFbu17klpqIktbKE9PjjhoR8lbvlb4wPfMhyfmcHZwynAfhEc8pIamoNDdKKnA&#13;&#10;/Xrrf7THlkYtJQ3OYkH9zz1zghL9zWCzz0aTSRzeJEymn8couEvN9lJj9vUKsG9GuHksT9doH3R/&#13;&#10;lQ7qF1wbyxgVVcxwjF1QHlwvrEK7I3DxcLFcJjMcWMvCvdlYHsEjq7GBn48vzNmuywNOxwP0c8vm&#13;&#10;r5q9tY2eBpb7AFKlSTjz2vGNw54ap1tMcZtcysnqvD4XvwEAAP//AwBQSwMEFAAGAAgAAAAhAOXe&#13;&#10;TqThAAAADQEAAA8AAABkcnMvZG93bnJldi54bWxMj8FOwzAMhu9IvENkJG4spdvK1jWdKibgNonB&#13;&#10;A2SN11ZrnNKka3l7vBO7WLZ/+ff/ZdvJtuKCvW8cKXieRSCQSmcaqhR8f709rUD4oMno1hEq+EUP&#13;&#10;2/z+LtOpcSN94uUQKsEm5FOtoA6hS6X0ZY1W+5nrkFg7ud7qwGNfSdPrkc1tK+MoSqTVDfGHWnf4&#13;&#10;WmN5PgxWwXLXncePVi6GYv+zL8opWct3rdTjw7TbcCk2IAJO4f8CrgycH3IOdnQDGS9aBUwTeBsv&#13;&#10;EhBXeRm/gDhyM5+vQeaZvKXI/wAAAP//AwBQSwECLQAUAAYACAAAACEAtoM4kv4AAADhAQAAEwAA&#13;&#10;AAAAAAAAAAAAAAAAAAAAW0NvbnRlbnRfVHlwZXNdLnhtbFBLAQItABQABgAIAAAAIQA4/SH/1gAA&#13;&#10;AJQBAAALAAAAAAAAAAAAAAAAAC8BAABfcmVscy8ucmVsc1BLAQItABQABgAIAAAAIQBRYSaUfAIA&#13;&#10;AIYFAAAOAAAAAAAAAAAAAAAAAC4CAABkcnMvZTJvRG9jLnhtbFBLAQItABQABgAIAAAAIQDl3k6k&#13;&#10;4QAAAA0BAAAPAAAAAAAAAAAAAAAAANYEAABkcnMvZG93bnJldi54bWxQSwUGAAAAAAQABADzAAAA&#13;&#10;5AUAAAAA&#13;&#10;" fillcolor="#ffc000" strokecolor="#ffc000" strokeweight="1pt"/>
            </w:pict>
          </mc:Fallback>
        </mc:AlternateContent>
      </w:r>
      <w:r w:rsidR="00A4621D" w:rsidRPr="008559FA">
        <w:rPr>
          <w:rFonts w:ascii="Aptos" w:hAnsi="Aptos"/>
          <w:b/>
          <w:bCs/>
          <w:color w:val="000000" w:themeColor="text1"/>
          <w:sz w:val="48"/>
          <w:szCs w:val="48"/>
        </w:rPr>
        <w:t>Tips for NIH S10 Instrumentation Grant Applications</w:t>
      </w:r>
    </w:p>
    <w:p w14:paraId="44E2A1FF" w14:textId="1ACCC701" w:rsidR="00C778EC" w:rsidRPr="00C778EC" w:rsidRDefault="00A4621D" w:rsidP="00AA4BCF">
      <w:pPr>
        <w:spacing w:before="240" w:after="0" w:line="240" w:lineRule="auto"/>
        <w:rPr>
          <w:rFonts w:ascii="Aptos" w:hAnsi="Aptos"/>
          <w:sz w:val="20"/>
          <w:szCs w:val="20"/>
        </w:rPr>
      </w:pPr>
      <w:r w:rsidRPr="00064902">
        <w:rPr>
          <w:rFonts w:ascii="Aptos" w:hAnsi="Aptos"/>
          <w:sz w:val="20"/>
          <w:szCs w:val="20"/>
        </w:rPr>
        <w:t>Below are some general considerations for investigators and administrators who are preparing a</w:t>
      </w:r>
      <w:r w:rsidR="0059790E">
        <w:rPr>
          <w:rFonts w:ascii="Aptos" w:hAnsi="Aptos"/>
          <w:sz w:val="20"/>
          <w:szCs w:val="20"/>
        </w:rPr>
        <w:t>n</w:t>
      </w:r>
      <w:r w:rsidRPr="00064902">
        <w:rPr>
          <w:rFonts w:ascii="Aptos" w:hAnsi="Aptos"/>
          <w:sz w:val="20"/>
          <w:szCs w:val="20"/>
        </w:rPr>
        <w:t xml:space="preserve"> NIH</w:t>
      </w:r>
      <w:r w:rsidR="00DA691C">
        <w:rPr>
          <w:rFonts w:ascii="Aptos" w:hAnsi="Aptos"/>
          <w:sz w:val="20"/>
          <w:szCs w:val="20"/>
        </w:rPr>
        <w:t xml:space="preserve"> </w:t>
      </w:r>
      <w:r w:rsidR="0059790E">
        <w:rPr>
          <w:rFonts w:ascii="Aptos" w:hAnsi="Aptos"/>
          <w:sz w:val="20"/>
          <w:szCs w:val="20"/>
        </w:rPr>
        <w:t>Instrumentation (S10) Grant</w:t>
      </w:r>
      <w:r w:rsidRPr="00064902">
        <w:rPr>
          <w:rFonts w:ascii="Aptos" w:hAnsi="Aptos"/>
          <w:sz w:val="20"/>
          <w:szCs w:val="20"/>
        </w:rPr>
        <w:t xml:space="preserve"> application. The information is based on our experience and key takeaways from discussions with investigators who have received </w:t>
      </w:r>
      <w:r w:rsidR="008559FA">
        <w:rPr>
          <w:rFonts w:ascii="Aptos" w:hAnsi="Aptos"/>
          <w:sz w:val="20"/>
          <w:szCs w:val="20"/>
        </w:rPr>
        <w:t xml:space="preserve">awards </w:t>
      </w:r>
      <w:r w:rsidRPr="00064902">
        <w:rPr>
          <w:rFonts w:ascii="Aptos" w:hAnsi="Aptos"/>
          <w:sz w:val="20"/>
          <w:szCs w:val="20"/>
        </w:rPr>
        <w:t>and/or reviewed these types of applications.</w:t>
      </w:r>
      <w:r w:rsidR="00AA4BCF">
        <w:rPr>
          <w:rFonts w:ascii="Aptos" w:hAnsi="Aptos"/>
          <w:sz w:val="20"/>
          <w:szCs w:val="20"/>
        </w:rPr>
        <w:t xml:space="preserve"> </w:t>
      </w:r>
      <w:r w:rsidR="00AA4BCF" w:rsidRPr="008559FA">
        <w:rPr>
          <w:rFonts w:ascii="Aptos" w:hAnsi="Aptos"/>
          <w:b/>
          <w:bCs/>
          <w:sz w:val="20"/>
          <w:szCs w:val="20"/>
        </w:rPr>
        <w:t xml:space="preserve">Most importantly, </w:t>
      </w:r>
      <w:r w:rsidR="008559FA" w:rsidRPr="008559FA">
        <w:rPr>
          <w:rFonts w:ascii="Aptos" w:hAnsi="Aptos"/>
          <w:b/>
          <w:bCs/>
          <w:sz w:val="20"/>
          <w:szCs w:val="20"/>
        </w:rPr>
        <w:t xml:space="preserve">make sure to </w:t>
      </w:r>
      <w:r w:rsidR="00AA4BCF" w:rsidRPr="008559FA">
        <w:rPr>
          <w:rFonts w:ascii="Aptos" w:hAnsi="Aptos"/>
          <w:b/>
          <w:bCs/>
          <w:sz w:val="20"/>
          <w:szCs w:val="20"/>
        </w:rPr>
        <w:t xml:space="preserve">read the funding announcement and application guidance thoroughly. </w:t>
      </w:r>
    </w:p>
    <w:p w14:paraId="409D9608" w14:textId="505B226B" w:rsidR="00A4621D" w:rsidRPr="00BB4AA7" w:rsidRDefault="00A4621D" w:rsidP="00C778EC">
      <w:pPr>
        <w:pStyle w:val="Heading2"/>
      </w:pPr>
      <w:r w:rsidRPr="00BB4AA7">
        <w:t xml:space="preserve">Demonstrate </w:t>
      </w:r>
      <w:r w:rsidR="00A46C06">
        <w:t xml:space="preserve">a </w:t>
      </w:r>
      <w:r w:rsidRPr="00BB4AA7">
        <w:t>Clear and Compelling Need</w:t>
      </w:r>
    </w:p>
    <w:p w14:paraId="789178AF" w14:textId="77777777" w:rsidR="00A4621D" w:rsidRPr="00BB4AA7" w:rsidRDefault="00A4621D" w:rsidP="00A4621D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BB4AA7">
        <w:rPr>
          <w:rFonts w:ascii="Aptos" w:hAnsi="Aptos"/>
        </w:rPr>
        <w:t>Show that the existing instrument is obsolete and essential to ongoing research.</w:t>
      </w:r>
    </w:p>
    <w:p w14:paraId="7FCFD239" w14:textId="5AD02DEB" w:rsidR="00A4621D" w:rsidRPr="00BB4AA7" w:rsidRDefault="00A4621D" w:rsidP="00A4621D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BB4AA7">
        <w:rPr>
          <w:rFonts w:ascii="Aptos" w:hAnsi="Aptos"/>
        </w:rPr>
        <w:t>Emphasize how the new instrument will fill a gap and is not redundant with existing instrumentation</w:t>
      </w:r>
      <w:r w:rsidR="00DA691C">
        <w:rPr>
          <w:rFonts w:ascii="Aptos" w:hAnsi="Aptos"/>
        </w:rPr>
        <w:t xml:space="preserve"> or offers new</w:t>
      </w:r>
      <w:r w:rsidR="009E4FFA">
        <w:rPr>
          <w:rFonts w:ascii="Aptos" w:hAnsi="Aptos"/>
        </w:rPr>
        <w:t xml:space="preserve"> and necessary</w:t>
      </w:r>
      <w:r w:rsidR="00DA691C">
        <w:rPr>
          <w:rFonts w:ascii="Aptos" w:hAnsi="Aptos"/>
        </w:rPr>
        <w:t xml:space="preserve"> functionality</w:t>
      </w:r>
      <w:r w:rsidRPr="00BB4AA7">
        <w:rPr>
          <w:rFonts w:ascii="Aptos" w:hAnsi="Aptos"/>
        </w:rPr>
        <w:t>.</w:t>
      </w:r>
    </w:p>
    <w:p w14:paraId="1A02886A" w14:textId="431B7909" w:rsidR="00A4621D" w:rsidRPr="00C778EC" w:rsidRDefault="00A4621D" w:rsidP="00C778EC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BB4AA7">
        <w:rPr>
          <w:rFonts w:ascii="Aptos" w:hAnsi="Aptos"/>
        </w:rPr>
        <w:t xml:space="preserve">Demonstrate how </w:t>
      </w:r>
      <w:r w:rsidR="00A46C06">
        <w:rPr>
          <w:rFonts w:ascii="Aptos" w:hAnsi="Aptos"/>
        </w:rPr>
        <w:t xml:space="preserve">a </w:t>
      </w:r>
      <w:r w:rsidRPr="00BB4AA7">
        <w:rPr>
          <w:rFonts w:ascii="Aptos" w:hAnsi="Aptos"/>
        </w:rPr>
        <w:t>lack of access is slowing research or limiting capabilities.</w:t>
      </w:r>
    </w:p>
    <w:p w14:paraId="6E37F776" w14:textId="77777777" w:rsidR="00A4621D" w:rsidRPr="00127EF9" w:rsidRDefault="00A4621D" w:rsidP="00C778EC">
      <w:pPr>
        <w:pStyle w:val="Heading2"/>
      </w:pPr>
      <w:r w:rsidRPr="00127EF9">
        <w:t>Preliminary Data and Active Use</w:t>
      </w:r>
    </w:p>
    <w:p w14:paraId="5934D313" w14:textId="2A891A25" w:rsidR="009E4FFA" w:rsidRDefault="00A4621D" w:rsidP="00A4621D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>For new instruments, p</w:t>
      </w:r>
      <w:r w:rsidRPr="00BB4AA7">
        <w:rPr>
          <w:rFonts w:ascii="Aptos" w:hAnsi="Aptos"/>
        </w:rPr>
        <w:t>rovide preliminary data</w:t>
      </w:r>
      <w:r w:rsidR="006B6E22">
        <w:rPr>
          <w:rFonts w:ascii="Aptos" w:hAnsi="Aptos"/>
        </w:rPr>
        <w:t xml:space="preserve">, such as that </w:t>
      </w:r>
      <w:r w:rsidR="009E4FFA">
        <w:rPr>
          <w:rFonts w:ascii="Aptos" w:hAnsi="Aptos"/>
        </w:rPr>
        <w:t>obtained from:</w:t>
      </w:r>
    </w:p>
    <w:p w14:paraId="34E8B7AC" w14:textId="6204147C" w:rsidR="009E4FFA" w:rsidRDefault="009E4FFA" w:rsidP="009E4FFA">
      <w:pPr>
        <w:pStyle w:val="ListBullet"/>
        <w:numPr>
          <w:ilvl w:val="0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on-site instrument </w:t>
      </w:r>
      <w:r w:rsidR="00A4621D">
        <w:rPr>
          <w:rFonts w:ascii="Aptos" w:hAnsi="Aptos"/>
        </w:rPr>
        <w:t>demo</w:t>
      </w:r>
      <w:r>
        <w:rPr>
          <w:rFonts w:ascii="Aptos" w:hAnsi="Aptos"/>
        </w:rPr>
        <w:t>nstrations or</w:t>
      </w:r>
    </w:p>
    <w:p w14:paraId="741D6978" w14:textId="4103E027" w:rsidR="00A4621D" w:rsidRPr="00BB4AA7" w:rsidRDefault="009E4FFA" w:rsidP="009E4FFA">
      <w:pPr>
        <w:pStyle w:val="ListBullet"/>
        <w:numPr>
          <w:ilvl w:val="0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s</w:t>
      </w:r>
      <w:r w:rsidR="00A46C06">
        <w:rPr>
          <w:rFonts w:ascii="Aptos" w:hAnsi="Aptos"/>
        </w:rPr>
        <w:t xml:space="preserve">tudies </w:t>
      </w:r>
      <w:r w:rsidR="009972C3">
        <w:rPr>
          <w:rFonts w:ascii="Aptos" w:hAnsi="Aptos"/>
        </w:rPr>
        <w:t>performed</w:t>
      </w:r>
      <w:r w:rsidR="00A46C06">
        <w:rPr>
          <w:rFonts w:ascii="Aptos" w:hAnsi="Aptos"/>
        </w:rPr>
        <w:t xml:space="preserve"> </w:t>
      </w:r>
      <w:r w:rsidR="00A4621D">
        <w:rPr>
          <w:rFonts w:ascii="Aptos" w:hAnsi="Aptos"/>
        </w:rPr>
        <w:t>at another institution</w:t>
      </w:r>
      <w:r>
        <w:rPr>
          <w:rFonts w:ascii="Aptos" w:hAnsi="Aptos"/>
        </w:rPr>
        <w:t>.</w:t>
      </w:r>
    </w:p>
    <w:p w14:paraId="27640753" w14:textId="2122DC51" w:rsidR="00A4621D" w:rsidRPr="00BB4AA7" w:rsidRDefault="00A4621D" w:rsidP="00A4621D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BB4AA7">
        <w:rPr>
          <w:rFonts w:ascii="Aptos" w:hAnsi="Aptos"/>
        </w:rPr>
        <w:t xml:space="preserve">Show that investigators are using </w:t>
      </w:r>
      <w:r w:rsidR="009E4FFA">
        <w:rPr>
          <w:rFonts w:ascii="Aptos" w:hAnsi="Aptos"/>
        </w:rPr>
        <w:t xml:space="preserve">similar instruments at other institutions </w:t>
      </w:r>
      <w:r w:rsidRPr="00BB4AA7">
        <w:rPr>
          <w:rFonts w:ascii="Aptos" w:hAnsi="Aptos"/>
        </w:rPr>
        <w:t xml:space="preserve">or </w:t>
      </w:r>
      <w:r w:rsidR="009E4FFA">
        <w:rPr>
          <w:rFonts w:ascii="Aptos" w:hAnsi="Aptos"/>
        </w:rPr>
        <w:t xml:space="preserve">will imminently require use of the </w:t>
      </w:r>
      <w:r w:rsidRPr="00BB4AA7">
        <w:rPr>
          <w:rFonts w:ascii="Aptos" w:hAnsi="Aptos"/>
        </w:rPr>
        <w:t>technology.</w:t>
      </w:r>
    </w:p>
    <w:p w14:paraId="2E5B2618" w14:textId="65359DCF" w:rsidR="00A4621D" w:rsidRPr="00C778EC" w:rsidRDefault="00A4621D" w:rsidP="00C778EC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BB4AA7">
        <w:rPr>
          <w:rFonts w:ascii="Aptos" w:hAnsi="Aptos"/>
        </w:rPr>
        <w:t>Highlight published work that relied on the requested technology.</w:t>
      </w:r>
    </w:p>
    <w:p w14:paraId="79D12488" w14:textId="77777777" w:rsidR="00A4621D" w:rsidRPr="00127EF9" w:rsidRDefault="00A4621D" w:rsidP="00C778EC">
      <w:pPr>
        <w:pStyle w:val="Heading2"/>
      </w:pPr>
      <w:r w:rsidRPr="00127EF9">
        <w:t>Major and Minor Users</w:t>
      </w:r>
    </w:p>
    <w:p w14:paraId="67736FFD" w14:textId="77777777" w:rsidR="00A4621D" w:rsidRDefault="00A4621D" w:rsidP="00A4621D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BB4AA7">
        <w:rPr>
          <w:rFonts w:ascii="Aptos" w:hAnsi="Aptos"/>
        </w:rPr>
        <w:t>Identify 5+ major users with NIH funding and describe how the instrument is central to their research.</w:t>
      </w:r>
    </w:p>
    <w:p w14:paraId="0C8992A1" w14:textId="2D9B5154" w:rsidR="009E4FFA" w:rsidRPr="00BB4AA7" w:rsidRDefault="009E4FFA" w:rsidP="00A4621D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>Ensure major user funding continues substantially past the point of funding and installation to demonstrate the ability for continued use of the instrument.</w:t>
      </w:r>
    </w:p>
    <w:p w14:paraId="529C1D0B" w14:textId="77777777" w:rsidR="00A4621D" w:rsidRDefault="00A4621D" w:rsidP="00A4621D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BB4AA7">
        <w:rPr>
          <w:rFonts w:ascii="Aptos" w:hAnsi="Aptos"/>
        </w:rPr>
        <w:t>Include minor users to show broader impact.</w:t>
      </w:r>
    </w:p>
    <w:p w14:paraId="3F4D424D" w14:textId="42128294" w:rsidR="00A46C06" w:rsidRPr="00BB4AA7" w:rsidRDefault="00A46C06" w:rsidP="00A4621D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>Ideally, include users from several departments and colleges at the institution.</w:t>
      </w:r>
    </w:p>
    <w:p w14:paraId="5788E870" w14:textId="100AFD98" w:rsidR="00A4621D" w:rsidRPr="00C778EC" w:rsidRDefault="00A4621D" w:rsidP="00C778EC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BB4AA7">
        <w:rPr>
          <w:rFonts w:ascii="Aptos" w:hAnsi="Aptos"/>
        </w:rPr>
        <w:t>Avoid generic descriptions—be specific about how each user will use the instrument</w:t>
      </w:r>
      <w:r w:rsidR="009E4FFA">
        <w:rPr>
          <w:rFonts w:ascii="Aptos" w:hAnsi="Aptos"/>
        </w:rPr>
        <w:t xml:space="preserve"> and any specific features or key accessories</w:t>
      </w:r>
      <w:r w:rsidRPr="00BB4AA7">
        <w:rPr>
          <w:rFonts w:ascii="Aptos" w:hAnsi="Aptos"/>
        </w:rPr>
        <w:t>.</w:t>
      </w:r>
    </w:p>
    <w:p w14:paraId="3A49FE62" w14:textId="77777777" w:rsidR="00A4621D" w:rsidRPr="00127EF9" w:rsidRDefault="00A4621D" w:rsidP="00C778EC">
      <w:pPr>
        <w:pStyle w:val="Heading2"/>
      </w:pPr>
      <w:r w:rsidRPr="00127EF9">
        <w:t>Infrastructure and Readiness</w:t>
      </w:r>
    </w:p>
    <w:p w14:paraId="43B0CC72" w14:textId="77777777" w:rsidR="00A4621D" w:rsidRPr="00BB4AA7" w:rsidRDefault="00A4621D" w:rsidP="00A4621D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BB4AA7">
        <w:rPr>
          <w:rFonts w:ascii="Aptos" w:hAnsi="Aptos"/>
        </w:rPr>
        <w:t>Demonstrate that infrastructure is ready (e.g., room prepared, service contracts planned).</w:t>
      </w:r>
    </w:p>
    <w:p w14:paraId="2FA968AB" w14:textId="5417A2EF" w:rsidR="00A46C06" w:rsidRDefault="00A46C06" w:rsidP="00A4621D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 xml:space="preserve">Ideally, </w:t>
      </w:r>
      <w:r w:rsidR="006B6E22">
        <w:rPr>
          <w:rFonts w:ascii="Aptos" w:hAnsi="Aptos"/>
        </w:rPr>
        <w:t xml:space="preserve">associate and </w:t>
      </w:r>
      <w:r>
        <w:rPr>
          <w:rFonts w:ascii="Aptos" w:hAnsi="Aptos"/>
        </w:rPr>
        <w:t>house the instrument in a core facility.</w:t>
      </w:r>
    </w:p>
    <w:p w14:paraId="441C4DF8" w14:textId="41D5CE7B" w:rsidR="00A4621D" w:rsidRPr="00C778EC" w:rsidRDefault="00A4621D" w:rsidP="00C778EC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BB4AA7">
        <w:rPr>
          <w:rFonts w:ascii="Aptos" w:hAnsi="Aptos"/>
        </w:rPr>
        <w:t>Include a business model for the core facility (administrative structure, billing processes, financial plans</w:t>
      </w:r>
      <w:r w:rsidR="00A46C06">
        <w:rPr>
          <w:rFonts w:ascii="Aptos" w:hAnsi="Aptos"/>
        </w:rPr>
        <w:t>, advisory committees)</w:t>
      </w:r>
      <w:r w:rsidRPr="00BB4AA7">
        <w:rPr>
          <w:rFonts w:ascii="Aptos" w:hAnsi="Aptos"/>
        </w:rPr>
        <w:t>.</w:t>
      </w:r>
    </w:p>
    <w:p w14:paraId="0CE808C6" w14:textId="77777777" w:rsidR="00A4621D" w:rsidRPr="00127EF9" w:rsidRDefault="00A4621D" w:rsidP="00C778EC">
      <w:pPr>
        <w:pStyle w:val="Heading2"/>
      </w:pPr>
      <w:r w:rsidRPr="00127EF9">
        <w:t>Institutional Support</w:t>
      </w:r>
    </w:p>
    <w:p w14:paraId="3CA55A10" w14:textId="77777777" w:rsidR="00A4621D" w:rsidRPr="00BB4AA7" w:rsidRDefault="00A4621D" w:rsidP="00A4621D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BB4AA7">
        <w:rPr>
          <w:rFonts w:ascii="Aptos" w:hAnsi="Aptos"/>
        </w:rPr>
        <w:t>Clearly state financial and in-kind contributions (e.g., space, renovations, subsidies</w:t>
      </w:r>
      <w:r>
        <w:rPr>
          <w:rFonts w:ascii="Aptos" w:hAnsi="Aptos"/>
        </w:rPr>
        <w:t>, service contracts</w:t>
      </w:r>
      <w:r w:rsidRPr="00BB4AA7">
        <w:rPr>
          <w:rFonts w:ascii="Aptos" w:hAnsi="Aptos"/>
        </w:rPr>
        <w:t>).</w:t>
      </w:r>
    </w:p>
    <w:p w14:paraId="0A66644F" w14:textId="6BF13B20" w:rsidR="00A4621D" w:rsidRPr="00C778EC" w:rsidRDefault="00A4621D" w:rsidP="00C778EC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BB4AA7">
        <w:rPr>
          <w:rFonts w:ascii="Aptos" w:hAnsi="Aptos"/>
        </w:rPr>
        <w:t>Include letters of support from leadership detailing readiness and commitments.</w:t>
      </w:r>
    </w:p>
    <w:p w14:paraId="1522E320" w14:textId="77777777" w:rsidR="00A4621D" w:rsidRPr="00127EF9" w:rsidRDefault="00A4621D" w:rsidP="00C778EC">
      <w:pPr>
        <w:pStyle w:val="Heading2"/>
      </w:pPr>
      <w:r w:rsidRPr="00127EF9">
        <w:lastRenderedPageBreak/>
        <w:t>Writing for Reviewers</w:t>
      </w:r>
    </w:p>
    <w:p w14:paraId="766FED7B" w14:textId="77777777" w:rsidR="00A4621D" w:rsidRPr="00BB4AA7" w:rsidRDefault="00A4621D" w:rsidP="00A4621D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BB4AA7">
        <w:rPr>
          <w:rFonts w:ascii="Aptos" w:hAnsi="Aptos"/>
        </w:rPr>
        <w:t>Avoid overly technical language—make it accessible to a broad panel.</w:t>
      </w:r>
    </w:p>
    <w:p w14:paraId="3EF683FD" w14:textId="77777777" w:rsidR="00A4621D" w:rsidRPr="00BB4AA7" w:rsidRDefault="00A4621D" w:rsidP="00A4621D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BB4AA7">
        <w:rPr>
          <w:rFonts w:ascii="Aptos" w:hAnsi="Aptos"/>
        </w:rPr>
        <w:t>Be explicit about how the instrument supports each research program.</w:t>
      </w:r>
    </w:p>
    <w:p w14:paraId="123267F1" w14:textId="77777777" w:rsidR="00A4621D" w:rsidRPr="00BB4AA7" w:rsidRDefault="00A4621D" w:rsidP="00A4621D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BB4AA7">
        <w:rPr>
          <w:rFonts w:ascii="Aptos" w:hAnsi="Aptos"/>
        </w:rPr>
        <w:t>Avoid vague or generic justifications.</w:t>
      </w:r>
    </w:p>
    <w:p w14:paraId="6677E72C" w14:textId="77777777" w:rsidR="00CC72EE" w:rsidRPr="00A4621D" w:rsidRDefault="00CC72EE" w:rsidP="00C778EC">
      <w:pPr>
        <w:jc w:val="center"/>
      </w:pPr>
    </w:p>
    <w:sectPr w:rsidR="00CC72EE" w:rsidRPr="00A4621D" w:rsidSect="00C308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D8CC2" w14:textId="77777777" w:rsidR="004812CB" w:rsidRDefault="004812CB" w:rsidP="00C308A9">
      <w:pPr>
        <w:spacing w:after="0" w:line="240" w:lineRule="auto"/>
      </w:pPr>
      <w:r>
        <w:separator/>
      </w:r>
    </w:p>
  </w:endnote>
  <w:endnote w:type="continuationSeparator" w:id="0">
    <w:p w14:paraId="18BA2B20" w14:textId="77777777" w:rsidR="004812CB" w:rsidRDefault="004812CB" w:rsidP="00C3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CB9D" w14:textId="2751933B" w:rsidR="009972C3" w:rsidRDefault="00C308A9">
    <w:pPr>
      <w:pStyle w:val="Footer"/>
      <w:rPr>
        <w:sz w:val="18"/>
        <w:szCs w:val="18"/>
      </w:rPr>
    </w:pPr>
    <w:r w:rsidRPr="009972C3">
      <w:rPr>
        <w:b/>
        <w:bCs/>
        <w:color w:val="595959" w:themeColor="text1" w:themeTint="A6"/>
        <w:sz w:val="18"/>
        <w:szCs w:val="18"/>
      </w:rPr>
      <w:t>Large-Scale Proposal Development Service (LSPDS)</w:t>
    </w:r>
    <w:r w:rsidRPr="009972C3">
      <w:rPr>
        <w:color w:val="595959" w:themeColor="text1" w:themeTint="A6"/>
        <w:sz w:val="18"/>
        <w:szCs w:val="18"/>
      </w:rPr>
      <w:t xml:space="preserve"> | </w:t>
    </w:r>
    <w:r w:rsidR="009972C3">
      <w:rPr>
        <w:color w:val="595959" w:themeColor="text1" w:themeTint="A6"/>
        <w:sz w:val="18"/>
        <w:szCs w:val="18"/>
      </w:rPr>
      <w:t>E</w:t>
    </w:r>
    <w:r w:rsidRPr="009972C3">
      <w:rPr>
        <w:color w:val="595959" w:themeColor="text1" w:themeTint="A6"/>
        <w:sz w:val="18"/>
        <w:szCs w:val="18"/>
      </w:rPr>
      <w:t xml:space="preserve">mail:  </w:t>
    </w:r>
    <w:hyperlink r:id="rId1" w:history="1">
      <w:r w:rsidRPr="00B318F1">
        <w:rPr>
          <w:rStyle w:val="Hyperlink"/>
          <w:sz w:val="18"/>
          <w:szCs w:val="18"/>
        </w:rPr>
        <w:t>com-lspds@uiowa.edu</w:t>
      </w:r>
    </w:hyperlink>
    <w:r>
      <w:rPr>
        <w:sz w:val="18"/>
        <w:szCs w:val="18"/>
      </w:rPr>
      <w:t xml:space="preserve"> </w:t>
    </w:r>
  </w:p>
  <w:p w14:paraId="1FC21C15" w14:textId="6A96835D" w:rsidR="00C308A9" w:rsidRPr="00C308A9" w:rsidRDefault="009972C3">
    <w:pPr>
      <w:pStyle w:val="Footer"/>
      <w:rPr>
        <w:sz w:val="18"/>
        <w:szCs w:val="18"/>
      </w:rPr>
    </w:pPr>
    <w:r>
      <w:rPr>
        <w:color w:val="595959" w:themeColor="text1" w:themeTint="A6"/>
        <w:sz w:val="18"/>
        <w:szCs w:val="18"/>
      </w:rPr>
      <w:t>W</w:t>
    </w:r>
    <w:r w:rsidR="00C308A9" w:rsidRPr="009972C3">
      <w:rPr>
        <w:color w:val="595959" w:themeColor="text1" w:themeTint="A6"/>
        <w:sz w:val="18"/>
        <w:szCs w:val="18"/>
      </w:rPr>
      <w:t xml:space="preserve">ebsite:  </w:t>
    </w:r>
    <w:hyperlink r:id="rId2" w:history="1">
      <w:r w:rsidR="00C308A9" w:rsidRPr="00C308A9">
        <w:rPr>
          <w:rStyle w:val="Hyperlink"/>
          <w:sz w:val="18"/>
          <w:szCs w:val="18"/>
        </w:rPr>
        <w:t>https://research.medicine.uiowa.edu/resources-researchers/research-administration-support-office/lspds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B940" w14:textId="77777777" w:rsidR="004812CB" w:rsidRDefault="004812CB" w:rsidP="00C308A9">
      <w:pPr>
        <w:spacing w:after="0" w:line="240" w:lineRule="auto"/>
      </w:pPr>
      <w:r>
        <w:separator/>
      </w:r>
    </w:p>
  </w:footnote>
  <w:footnote w:type="continuationSeparator" w:id="0">
    <w:p w14:paraId="7AEDBF9A" w14:textId="77777777" w:rsidR="004812CB" w:rsidRDefault="004812CB" w:rsidP="00C30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C65" w14:textId="1F4781C6" w:rsidR="009972C3" w:rsidRDefault="009972C3">
    <w:pPr>
      <w:pStyle w:val="Header"/>
      <w:rPr>
        <w:rFonts w:ascii="Roboto" w:hAnsi="Roboto"/>
        <w:color w:val="595959" w:themeColor="text1" w:themeTint="A6"/>
        <w:sz w:val="16"/>
        <w:szCs w:val="16"/>
      </w:rPr>
    </w:pPr>
    <w:r w:rsidRPr="003B6D91">
      <w:rPr>
        <w:rFonts w:ascii="Roboto" w:hAnsi="Roboto"/>
        <w:noProof/>
        <w:color w:val="595959" w:themeColor="text1" w:themeTint="A6"/>
        <w:sz w:val="22"/>
        <w:szCs w:val="22"/>
      </w:rPr>
      <w:drawing>
        <wp:anchor distT="0" distB="0" distL="114300" distR="114300" simplePos="0" relativeHeight="251659264" behindDoc="1" locked="0" layoutInCell="1" allowOverlap="1" wp14:anchorId="290D0562" wp14:editId="7394579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69645" cy="287655"/>
          <wp:effectExtent l="0" t="0" r="0" b="4445"/>
          <wp:wrapNone/>
          <wp:docPr id="923013618" name="Picture 4" descr="Iowa Carver College of Medicine logo">
            <a:extLst xmlns:a="http://schemas.openxmlformats.org/drawingml/2006/main">
              <a:ext uri="{FF2B5EF4-FFF2-40B4-BE49-F238E27FC236}">
                <a16:creationId xmlns:a16="http://schemas.microsoft.com/office/drawing/2014/main" id="{D5A2BC08-77D0-A4A7-17E2-81071BF27F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013618" name="Picture 4" descr="Iowa Carver College of Medicine logo">
                    <a:extLst>
                      <a:ext uri="{FF2B5EF4-FFF2-40B4-BE49-F238E27FC236}">
                        <a16:creationId xmlns:a16="http://schemas.microsoft.com/office/drawing/2014/main" id="{D5A2BC08-77D0-A4A7-17E2-81071BF27F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16490" t="65216" r="16876" b="17520"/>
                  <a:stretch/>
                </pic:blipFill>
                <pic:spPr>
                  <a:xfrm>
                    <a:off x="0" y="0"/>
                    <a:ext cx="96964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9972C3">
      <w:rPr>
        <w:rFonts w:ascii="Roboto" w:hAnsi="Roboto"/>
        <w:color w:val="595959" w:themeColor="text1" w:themeTint="A6"/>
        <w:sz w:val="16"/>
        <w:szCs w:val="16"/>
      </w:rPr>
      <w:t>11/2025</w:t>
    </w:r>
  </w:p>
  <w:p w14:paraId="5DD67E1D" w14:textId="77777777" w:rsidR="00311E63" w:rsidRDefault="00311E63">
    <w:pPr>
      <w:pStyle w:val="Header"/>
      <w:rPr>
        <w:rFonts w:ascii="Roboto" w:hAnsi="Roboto"/>
        <w:color w:val="595959" w:themeColor="text1" w:themeTint="A6"/>
        <w:sz w:val="16"/>
        <w:szCs w:val="16"/>
      </w:rPr>
    </w:pPr>
  </w:p>
  <w:p w14:paraId="09B95B17" w14:textId="77777777" w:rsidR="00311E63" w:rsidRDefault="00311E63">
    <w:pPr>
      <w:pStyle w:val="Header"/>
      <w:rPr>
        <w:rFonts w:ascii="Roboto" w:hAnsi="Roboto"/>
        <w:color w:val="595959" w:themeColor="text1" w:themeTint="A6"/>
        <w:sz w:val="16"/>
        <w:szCs w:val="16"/>
      </w:rPr>
    </w:pPr>
  </w:p>
  <w:p w14:paraId="380B60D9" w14:textId="77777777" w:rsidR="00311E63" w:rsidRDefault="00311E63">
    <w:pPr>
      <w:pStyle w:val="Header"/>
      <w:rPr>
        <w:rFonts w:ascii="Roboto" w:hAnsi="Roboto"/>
        <w:color w:val="595959" w:themeColor="text1" w:themeTint="A6"/>
        <w:sz w:val="16"/>
        <w:szCs w:val="16"/>
      </w:rPr>
    </w:pPr>
  </w:p>
  <w:p w14:paraId="3EC5AE40" w14:textId="77777777" w:rsidR="00311E63" w:rsidRPr="009972C3" w:rsidRDefault="00311E63">
    <w:pPr>
      <w:pStyle w:val="Header"/>
      <w:rPr>
        <w:rFonts w:ascii="Roboto" w:hAnsi="Roboto"/>
        <w:color w:val="595959" w:themeColor="text1" w:themeTint="A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0021A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974E70"/>
    <w:multiLevelType w:val="hybridMultilevel"/>
    <w:tmpl w:val="E93084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407810">
    <w:abstractNumId w:val="0"/>
  </w:num>
  <w:num w:numId="2" w16cid:durableId="1311062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A9"/>
    <w:rsid w:val="00064902"/>
    <w:rsid w:val="001803E2"/>
    <w:rsid w:val="001C465E"/>
    <w:rsid w:val="00236314"/>
    <w:rsid w:val="00311E63"/>
    <w:rsid w:val="003834B8"/>
    <w:rsid w:val="004812CB"/>
    <w:rsid w:val="004C5CF5"/>
    <w:rsid w:val="004E30BB"/>
    <w:rsid w:val="0059790E"/>
    <w:rsid w:val="006B6E22"/>
    <w:rsid w:val="007263F2"/>
    <w:rsid w:val="0078678A"/>
    <w:rsid w:val="007929ED"/>
    <w:rsid w:val="007A1432"/>
    <w:rsid w:val="007A3508"/>
    <w:rsid w:val="008559FA"/>
    <w:rsid w:val="00874896"/>
    <w:rsid w:val="008A4BB4"/>
    <w:rsid w:val="00930AA5"/>
    <w:rsid w:val="009972C3"/>
    <w:rsid w:val="009E4FFA"/>
    <w:rsid w:val="009E637D"/>
    <w:rsid w:val="00A2095C"/>
    <w:rsid w:val="00A4621D"/>
    <w:rsid w:val="00A46C06"/>
    <w:rsid w:val="00A66A53"/>
    <w:rsid w:val="00AA4BCF"/>
    <w:rsid w:val="00C308A9"/>
    <w:rsid w:val="00C778EC"/>
    <w:rsid w:val="00CC72EE"/>
    <w:rsid w:val="00D92E1B"/>
    <w:rsid w:val="00DA691C"/>
    <w:rsid w:val="00E632E4"/>
    <w:rsid w:val="00FE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E7E574"/>
  <w15:chartTrackingRefBased/>
  <w15:docId w15:val="{544A5F98-426E-E848-8A9A-022B1692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8EC"/>
    <w:pPr>
      <w:keepNext/>
      <w:keepLines/>
      <w:spacing w:before="240" w:after="80" w:line="240" w:lineRule="auto"/>
      <w:outlineLvl w:val="1"/>
    </w:pPr>
    <w:rPr>
      <w:rFonts w:asciiTheme="majorHAnsi" w:eastAsiaTheme="majorEastAsia" w:hAnsiTheme="majorHAnsi" w:cstheme="majorBidi"/>
      <w:color w:val="0070C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78EC"/>
    <w:rPr>
      <w:rFonts w:asciiTheme="majorHAnsi" w:eastAsiaTheme="majorEastAsia" w:hAnsiTheme="majorHAnsi" w:cstheme="majorBidi"/>
      <w:color w:val="0070C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0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8A9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C308A9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8A9"/>
  </w:style>
  <w:style w:type="paragraph" w:styleId="Footer">
    <w:name w:val="footer"/>
    <w:basedOn w:val="Normal"/>
    <w:link w:val="FooterChar"/>
    <w:uiPriority w:val="99"/>
    <w:unhideWhenUsed/>
    <w:rsid w:val="00C3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8A9"/>
  </w:style>
  <w:style w:type="character" w:styleId="Hyperlink">
    <w:name w:val="Hyperlink"/>
    <w:basedOn w:val="DefaultParagraphFont"/>
    <w:uiPriority w:val="99"/>
    <w:unhideWhenUsed/>
    <w:rsid w:val="00C308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esearch.medicine.uiowa.edu/resources-researchers/research-administration-support-office/lspds" TargetMode="External"/><Relationship Id="rId1" Type="http://schemas.openxmlformats.org/officeDocument/2006/relationships/hyperlink" Target="mailto:com-lspds@uiow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Jennifer Y</dc:creator>
  <cp:keywords/>
  <dc:description/>
  <cp:lastModifiedBy>Barr, Jennifer Y</cp:lastModifiedBy>
  <cp:revision>11</cp:revision>
  <cp:lastPrinted>2025-12-02T12:09:00Z</cp:lastPrinted>
  <dcterms:created xsi:type="dcterms:W3CDTF">2025-11-03T15:23:00Z</dcterms:created>
  <dcterms:modified xsi:type="dcterms:W3CDTF">2025-12-04T14:35:00Z</dcterms:modified>
</cp:coreProperties>
</file>